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8D6" w:rsidRPr="008F28D6" w:rsidRDefault="008F28D6" w:rsidP="008F28D6">
      <w:pPr>
        <w:widowControl/>
        <w:shd w:val="clear" w:color="auto" w:fill="FFFFFF"/>
        <w:wordWrap w:val="0"/>
        <w:spacing w:line="1000" w:lineRule="atLeast"/>
        <w:jc w:val="center"/>
        <w:rPr>
          <w:rFonts w:ascii="Calibri" w:eastAsia="宋体" w:hAnsi="Calibri" w:cs="Calibri"/>
          <w:color w:val="666666"/>
          <w:kern w:val="0"/>
          <w:szCs w:val="21"/>
        </w:rPr>
      </w:pPr>
      <w:r w:rsidRPr="008F28D6">
        <w:rPr>
          <w:rFonts w:ascii="华文中宋" w:eastAsia="华文中宋" w:hAnsi="华文中宋" w:cs="Calibri" w:hint="eastAsia"/>
          <w:b/>
          <w:bCs/>
          <w:color w:val="FF0000"/>
          <w:spacing w:val="-4"/>
          <w:kern w:val="0"/>
          <w:sz w:val="100"/>
          <w:szCs w:val="100"/>
        </w:rPr>
        <w:t>北 京 师 范大 学 文 件</w:t>
      </w:r>
    </w:p>
    <w:p w:rsidR="008F28D6" w:rsidRPr="008F28D6" w:rsidRDefault="008F28D6" w:rsidP="008F28D6">
      <w:pPr>
        <w:widowControl/>
        <w:shd w:val="clear" w:color="auto" w:fill="FFFFFF"/>
        <w:wordWrap w:val="0"/>
        <w:spacing w:before="156"/>
        <w:jc w:val="center"/>
        <w:rPr>
          <w:rFonts w:ascii="Calibri" w:eastAsia="宋体" w:hAnsi="Calibri" w:cs="Calibri"/>
          <w:color w:val="666666"/>
          <w:kern w:val="0"/>
          <w:szCs w:val="21"/>
        </w:rPr>
      </w:pPr>
      <w:r w:rsidRPr="008F28D6">
        <w:rPr>
          <w:rFonts w:ascii="Calibri" w:eastAsia="仿宋" w:hAnsi="Calibri" w:cs="Calibri"/>
          <w:snapToGrid w:val="0"/>
          <w:color w:val="000000"/>
          <w:kern w:val="0"/>
          <w:sz w:val="30"/>
          <w:szCs w:val="30"/>
        </w:rPr>
        <w:t> </w:t>
      </w:r>
    </w:p>
    <w:p w:rsidR="008F28D6" w:rsidRPr="008F28D6" w:rsidRDefault="008F28D6" w:rsidP="008F28D6">
      <w:pPr>
        <w:widowControl/>
        <w:shd w:val="clear" w:color="auto" w:fill="FFFFFF"/>
        <w:wordWrap w:val="0"/>
        <w:spacing w:before="156"/>
        <w:jc w:val="center"/>
        <w:rPr>
          <w:rFonts w:ascii="Calibri" w:eastAsia="宋体" w:hAnsi="Calibri" w:cs="Calibri"/>
          <w:color w:val="666666"/>
          <w:kern w:val="0"/>
          <w:szCs w:val="21"/>
        </w:rPr>
      </w:pPr>
      <w:r w:rsidRPr="008F28D6">
        <w:rPr>
          <w:rFonts w:ascii="仿宋" w:eastAsia="仿宋" w:hAnsi="仿宋" w:cs="Calibri" w:hint="eastAsia"/>
          <w:color w:val="000000"/>
          <w:kern w:val="0"/>
          <w:sz w:val="32"/>
          <w:szCs w:val="32"/>
        </w:rPr>
        <w:t>师校发〔2016〕85号</w:t>
      </w:r>
    </w:p>
    <w:p w:rsidR="008F28D6" w:rsidRPr="008F28D6" w:rsidRDefault="008F28D6" w:rsidP="008F28D6">
      <w:pPr>
        <w:widowControl/>
        <w:shd w:val="clear" w:color="auto" w:fill="FFFFFF"/>
        <w:wordWrap w:val="0"/>
        <w:spacing w:line="520" w:lineRule="atLeast"/>
        <w:rPr>
          <w:rFonts w:ascii="Calibri" w:eastAsia="宋体" w:hAnsi="Calibri" w:cs="Calibri"/>
          <w:color w:val="666666"/>
          <w:kern w:val="0"/>
          <w:szCs w:val="21"/>
        </w:rPr>
      </w:pPr>
      <w:r w:rsidRPr="008F28D6">
        <w:rPr>
          <w:rFonts w:ascii="Calibri" w:eastAsia="宋体" w:hAnsi="Calibri" w:cs="Calibri"/>
          <w:noProof/>
          <w:color w:val="000000"/>
          <w:kern w:val="0"/>
          <w:szCs w:val="21"/>
        </w:rPr>
        <w:drawing>
          <wp:inline distT="0" distB="0" distL="0" distR="0">
            <wp:extent cx="5629275" cy="28575"/>
            <wp:effectExtent l="0" t="0" r="9525" b="9525"/>
            <wp:docPr id="1" name="图片 1" descr="http://one.bnu.edu.cn:80/dcp/uploadfiles/ewebeditor/2017/03/02/201703021444367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e.bnu.edu.cn:80/dcp/uploadfiles/ewebeditor/2017/03/02/20170302144436714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28575"/>
                    </a:xfrm>
                    <a:prstGeom prst="rect">
                      <a:avLst/>
                    </a:prstGeom>
                    <a:noFill/>
                    <a:ln>
                      <a:noFill/>
                    </a:ln>
                  </pic:spPr>
                </pic:pic>
              </a:graphicData>
            </a:graphic>
          </wp:inline>
        </w:drawing>
      </w:r>
      <w:r w:rsidRPr="008F28D6">
        <w:rPr>
          <w:rFonts w:ascii="Calibri" w:eastAsia="仿宋" w:hAnsi="Calibri" w:cs="Calibri"/>
          <w:color w:val="000000"/>
          <w:kern w:val="0"/>
          <w:sz w:val="30"/>
          <w:szCs w:val="30"/>
        </w:rPr>
        <w:t> </w:t>
      </w:r>
    </w:p>
    <w:p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方正小标宋简体" w:eastAsia="方正小标宋简体" w:hAnsi="Calibri" w:cs="Calibri" w:hint="eastAsia"/>
          <w:b/>
          <w:bCs/>
          <w:color w:val="000000"/>
          <w:kern w:val="0"/>
          <w:sz w:val="44"/>
          <w:szCs w:val="44"/>
        </w:rPr>
        <w:t> </w:t>
      </w:r>
    </w:p>
    <w:p w:rsidR="008F28D6" w:rsidRPr="008F28D6" w:rsidRDefault="008F28D6" w:rsidP="008F28D6">
      <w:pPr>
        <w:widowControl/>
        <w:shd w:val="clear" w:color="auto" w:fill="FFFFFF"/>
        <w:wordWrap w:val="0"/>
        <w:jc w:val="left"/>
        <w:rPr>
          <w:rFonts w:ascii="Helvetica" w:eastAsia="宋体" w:hAnsi="Helvetica" w:cs="Helvetica"/>
          <w:color w:val="666666"/>
          <w:kern w:val="0"/>
          <w:szCs w:val="21"/>
        </w:rPr>
      </w:pPr>
      <w:r w:rsidRPr="008F28D6">
        <w:rPr>
          <w:rFonts w:ascii="Helvetica" w:eastAsia="宋体" w:hAnsi="Helvetica" w:cs="Helvetica"/>
          <w:color w:val="666666"/>
          <w:kern w:val="0"/>
          <w:szCs w:val="21"/>
        </w:rPr>
        <w:br w:type="textWrapping" w:clear="all"/>
      </w:r>
    </w:p>
    <w:p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方正小标宋简体" w:eastAsia="方正小标宋简体" w:hAnsi="Calibri" w:cs="Calibri" w:hint="eastAsia"/>
          <w:b/>
          <w:bCs/>
          <w:color w:val="000000"/>
          <w:kern w:val="0"/>
          <w:sz w:val="44"/>
          <w:szCs w:val="44"/>
        </w:rPr>
        <w:t>北京师范大学</w:t>
      </w:r>
    </w:p>
    <w:p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方正小标宋简体" w:eastAsia="方正小标宋简体" w:hAnsi="Calibri" w:cs="Calibri" w:hint="eastAsia"/>
          <w:b/>
          <w:bCs/>
          <w:color w:val="000000"/>
          <w:spacing w:val="-18"/>
          <w:kern w:val="0"/>
          <w:sz w:val="44"/>
          <w:szCs w:val="44"/>
        </w:rPr>
        <w:t>关于印发《科研仪器设备采购实施细则》的通知</w:t>
      </w:r>
    </w:p>
    <w:p w:rsidR="008F28D6" w:rsidRPr="008F28D6" w:rsidRDefault="008F28D6" w:rsidP="008F28D6">
      <w:pPr>
        <w:widowControl/>
        <w:shd w:val="clear" w:color="auto" w:fill="FFFFFF"/>
        <w:wordWrap w:val="0"/>
        <w:snapToGrid w:val="0"/>
        <w:spacing w:line="560" w:lineRule="atLeast"/>
        <w:rPr>
          <w:rFonts w:ascii="Calibri" w:eastAsia="宋体" w:hAnsi="Calibri" w:cs="Calibri"/>
          <w:color w:val="666666"/>
          <w:kern w:val="0"/>
          <w:szCs w:val="21"/>
        </w:rPr>
      </w:pPr>
      <w:r w:rsidRPr="008F28D6">
        <w:rPr>
          <w:rFonts w:ascii="Calibri" w:eastAsia="楷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rPr>
          <w:rFonts w:ascii="Calibri" w:eastAsia="宋体" w:hAnsi="Calibri" w:cs="Calibri"/>
          <w:color w:val="666666"/>
          <w:kern w:val="0"/>
          <w:szCs w:val="21"/>
        </w:rPr>
      </w:pPr>
      <w:r w:rsidRPr="008F28D6">
        <w:rPr>
          <w:rFonts w:ascii="楷体" w:eastAsia="楷体" w:hAnsi="楷体" w:cs="Calibri" w:hint="eastAsia"/>
          <w:color w:val="000000"/>
          <w:kern w:val="0"/>
          <w:sz w:val="32"/>
          <w:szCs w:val="32"/>
        </w:rPr>
        <w:t>校内各单位：</w:t>
      </w:r>
    </w:p>
    <w:p w:rsidR="008F28D6" w:rsidRPr="008F28D6" w:rsidRDefault="008F28D6" w:rsidP="008F28D6">
      <w:pPr>
        <w:widowControl/>
        <w:shd w:val="clear" w:color="auto" w:fill="FFFFFF"/>
        <w:wordWrap w:val="0"/>
        <w:snapToGrid w:val="0"/>
        <w:spacing w:line="560" w:lineRule="atLeast"/>
        <w:rPr>
          <w:rFonts w:ascii="Calibri" w:eastAsia="宋体" w:hAnsi="Calibri" w:cs="Calibri"/>
          <w:color w:val="666666"/>
          <w:kern w:val="0"/>
          <w:szCs w:val="21"/>
        </w:rPr>
      </w:pPr>
      <w:r w:rsidRPr="008F28D6">
        <w:rPr>
          <w:rFonts w:ascii="Calibri" w:eastAsia="楷体" w:hAnsi="Calibri" w:cs="Calibri"/>
          <w:color w:val="000000"/>
          <w:kern w:val="0"/>
          <w:sz w:val="32"/>
          <w:szCs w:val="32"/>
        </w:rPr>
        <w:t>   </w:t>
      </w:r>
      <w:r w:rsidRPr="008F28D6">
        <w:rPr>
          <w:rFonts w:ascii="楷体" w:eastAsia="楷体" w:hAnsi="楷体" w:cs="Calibri" w:hint="eastAsia"/>
          <w:color w:val="000000"/>
          <w:kern w:val="0"/>
          <w:sz w:val="32"/>
          <w:szCs w:val="32"/>
        </w:rPr>
        <w:t xml:space="preserve"> 根据中共中央办公厅、国务院办公厅《印发&lt;关于进一步完善中央财政科研项目资金管理等政策的若干意见&gt;的通知》（中办发〔2016〕50号）、财政部《关于完善中央单位政府采购预算管理和中央高校、科研院所科研仪器设备采购管理有关事宜的通知》（财库〔2016〕194号）等文件要求，结合我校实际情况，学校制定了《科研仪器设备采购实施细则》，经校长办公会讨论通过，现予以印发。</w:t>
      </w:r>
    </w:p>
    <w:p w:rsidR="008F28D6" w:rsidRPr="008F28D6" w:rsidRDefault="008F28D6" w:rsidP="008F28D6">
      <w:pPr>
        <w:widowControl/>
        <w:shd w:val="clear" w:color="auto" w:fill="FFFFFF"/>
        <w:wordWrap w:val="0"/>
        <w:ind w:firstLine="900"/>
        <w:rPr>
          <w:rFonts w:ascii="Calibri" w:eastAsia="宋体" w:hAnsi="Calibri" w:cs="Calibri"/>
          <w:color w:val="666666"/>
          <w:kern w:val="0"/>
          <w:szCs w:val="21"/>
        </w:rPr>
      </w:pPr>
      <w:r w:rsidRPr="008F28D6">
        <w:rPr>
          <w:rFonts w:ascii="Calibri" w:eastAsia="楷体" w:hAnsi="Calibri" w:cs="Calibri"/>
          <w:color w:val="000000"/>
          <w:kern w:val="0"/>
          <w:sz w:val="32"/>
          <w:szCs w:val="32"/>
        </w:rPr>
        <w:lastRenderedPageBreak/>
        <w:t> </w:t>
      </w:r>
    </w:p>
    <w:p w:rsidR="008F28D6" w:rsidRPr="008F28D6" w:rsidRDefault="008F28D6" w:rsidP="008F28D6">
      <w:pPr>
        <w:widowControl/>
        <w:shd w:val="clear" w:color="auto" w:fill="FFFFFF"/>
        <w:wordWrap w:val="0"/>
        <w:ind w:firstLine="900"/>
        <w:rPr>
          <w:rFonts w:ascii="Calibri" w:eastAsia="宋体" w:hAnsi="Calibri" w:cs="Calibri"/>
          <w:color w:val="666666"/>
          <w:kern w:val="0"/>
          <w:szCs w:val="21"/>
        </w:rPr>
      </w:pPr>
      <w:r w:rsidRPr="008F28D6">
        <w:rPr>
          <w:rFonts w:ascii="Calibri" w:eastAsia="楷体" w:hAnsi="Calibri" w:cs="Calibri"/>
          <w:color w:val="000000"/>
          <w:kern w:val="0"/>
          <w:sz w:val="32"/>
          <w:szCs w:val="32"/>
        </w:rPr>
        <w:t>                        </w:t>
      </w:r>
      <w:r w:rsidRPr="008F28D6">
        <w:rPr>
          <w:rFonts w:ascii="楷体" w:eastAsia="楷体" w:hAnsi="楷体" w:cs="Calibri" w:hint="eastAsia"/>
          <w:color w:val="000000"/>
          <w:kern w:val="0"/>
          <w:sz w:val="32"/>
          <w:szCs w:val="32"/>
        </w:rPr>
        <w:t xml:space="preserve"> </w:t>
      </w:r>
      <w:r w:rsidRPr="008F28D6">
        <w:rPr>
          <w:rFonts w:ascii="Calibri" w:eastAsia="楷体" w:hAnsi="Calibri" w:cs="Calibri"/>
          <w:color w:val="000000"/>
          <w:kern w:val="0"/>
          <w:sz w:val="32"/>
          <w:szCs w:val="32"/>
        </w:rPr>
        <w:t>    </w:t>
      </w:r>
      <w:r w:rsidRPr="008F28D6">
        <w:rPr>
          <w:rFonts w:ascii="楷体" w:eastAsia="楷体" w:hAnsi="楷体" w:cs="Calibri" w:hint="eastAsia"/>
          <w:color w:val="000000"/>
          <w:kern w:val="0"/>
          <w:sz w:val="32"/>
          <w:szCs w:val="32"/>
        </w:rPr>
        <w:t>北京师范大学</w:t>
      </w:r>
    </w:p>
    <w:p w:rsidR="008F28D6" w:rsidRPr="008F28D6" w:rsidRDefault="008F28D6" w:rsidP="008F28D6">
      <w:pPr>
        <w:widowControl/>
        <w:shd w:val="clear" w:color="auto" w:fill="FFFFFF"/>
        <w:wordWrap w:val="0"/>
        <w:ind w:firstLine="900"/>
        <w:rPr>
          <w:rFonts w:ascii="Calibri" w:eastAsia="宋体" w:hAnsi="Calibri" w:cs="Calibri"/>
          <w:color w:val="666666"/>
          <w:kern w:val="0"/>
          <w:szCs w:val="21"/>
        </w:rPr>
      </w:pPr>
      <w:r w:rsidRPr="008F28D6">
        <w:rPr>
          <w:rFonts w:ascii="Calibri" w:eastAsia="楷体" w:hAnsi="Calibri" w:cs="Calibri"/>
          <w:color w:val="000000"/>
          <w:kern w:val="0"/>
          <w:sz w:val="32"/>
          <w:szCs w:val="32"/>
        </w:rPr>
        <w:t>                           </w:t>
      </w:r>
      <w:r w:rsidRPr="008F28D6">
        <w:rPr>
          <w:rFonts w:ascii="楷体" w:eastAsia="楷体" w:hAnsi="楷体" w:cs="Calibri" w:hint="eastAsia"/>
          <w:color w:val="000000"/>
          <w:kern w:val="0"/>
          <w:sz w:val="32"/>
          <w:szCs w:val="32"/>
        </w:rPr>
        <w:t xml:space="preserve"> 2016年12月31日</w:t>
      </w:r>
    </w:p>
    <w:p w:rsidR="008F28D6" w:rsidRPr="008F28D6" w:rsidRDefault="008F28D6" w:rsidP="008F28D6">
      <w:pPr>
        <w:widowControl/>
        <w:shd w:val="clear" w:color="auto" w:fill="FFFFFF"/>
        <w:wordWrap w:val="0"/>
        <w:jc w:val="left"/>
        <w:rPr>
          <w:rFonts w:ascii="Calibri" w:eastAsia="宋体" w:hAnsi="Calibri" w:cs="Calibri"/>
          <w:color w:val="666666"/>
          <w:kern w:val="0"/>
          <w:szCs w:val="21"/>
        </w:rPr>
      </w:pPr>
      <w:r w:rsidRPr="008F28D6">
        <w:rPr>
          <w:rFonts w:ascii="楷体" w:eastAsia="楷体" w:hAnsi="楷体" w:cs="Helvetica" w:hint="eastAsia"/>
          <w:color w:val="666666"/>
          <w:kern w:val="0"/>
          <w:sz w:val="32"/>
          <w:szCs w:val="32"/>
        </w:rPr>
        <w:br w:type="page"/>
      </w:r>
      <w:r w:rsidRPr="008F28D6">
        <w:rPr>
          <w:rFonts w:ascii="Calibri" w:eastAsia="楷体" w:hAnsi="Calibri" w:cs="Calibri"/>
          <w:color w:val="000000"/>
          <w:kern w:val="0"/>
          <w:sz w:val="32"/>
          <w:szCs w:val="32"/>
        </w:rPr>
        <w:lastRenderedPageBreak/>
        <w:t> </w:t>
      </w:r>
    </w:p>
    <w:p w:rsidR="008F28D6" w:rsidRPr="008F28D6" w:rsidRDefault="008F28D6" w:rsidP="008F28D6">
      <w:pPr>
        <w:widowControl/>
        <w:shd w:val="clear" w:color="auto" w:fill="FFFFFF"/>
        <w:wordWrap w:val="0"/>
        <w:jc w:val="center"/>
        <w:rPr>
          <w:rFonts w:ascii="Calibri" w:eastAsia="宋体" w:hAnsi="Calibri" w:cs="Calibri"/>
          <w:color w:val="666666"/>
          <w:kern w:val="0"/>
          <w:szCs w:val="21"/>
        </w:rPr>
      </w:pPr>
      <w:r w:rsidRPr="008F28D6">
        <w:rPr>
          <w:rFonts w:ascii="方正小标宋简体" w:eastAsia="方正小标宋简体" w:hAnsi="Calibri" w:cs="Calibri" w:hint="eastAsia"/>
          <w:b/>
          <w:bCs/>
          <w:color w:val="000000"/>
          <w:kern w:val="0"/>
          <w:sz w:val="44"/>
          <w:szCs w:val="44"/>
        </w:rPr>
        <w:t>北京师范大学</w:t>
      </w:r>
    </w:p>
    <w:p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方正小标宋简体" w:eastAsia="方正小标宋简体" w:hAnsi="Calibri" w:cs="Calibri" w:hint="eastAsia"/>
          <w:b/>
          <w:bCs/>
          <w:color w:val="000000"/>
          <w:kern w:val="0"/>
          <w:sz w:val="44"/>
          <w:szCs w:val="44"/>
        </w:rPr>
        <w:t>科研仪器设备采购实施细则</w:t>
      </w:r>
    </w:p>
    <w:p w:rsidR="008F28D6" w:rsidRPr="008F28D6" w:rsidRDefault="008F28D6" w:rsidP="008F28D6">
      <w:pPr>
        <w:widowControl/>
        <w:shd w:val="clear" w:color="auto" w:fill="FFFFFF"/>
        <w:wordWrap w:val="0"/>
        <w:snapToGrid w:val="0"/>
        <w:spacing w:line="560" w:lineRule="atLeast"/>
        <w:ind w:firstLine="482"/>
        <w:jc w:val="center"/>
        <w:rPr>
          <w:rFonts w:ascii="Calibri" w:eastAsia="宋体" w:hAnsi="Calibri" w:cs="Calibri"/>
          <w:color w:val="666666"/>
          <w:kern w:val="0"/>
          <w:szCs w:val="21"/>
        </w:rPr>
      </w:pPr>
      <w:r w:rsidRPr="008F28D6">
        <w:rPr>
          <w:rFonts w:ascii="Calibri" w:eastAsia="仿宋" w:hAnsi="Calibri" w:cs="Calibri"/>
          <w:b/>
          <w:bCs/>
          <w:color w:val="000000"/>
          <w:kern w:val="0"/>
          <w:sz w:val="24"/>
          <w:szCs w:val="24"/>
        </w:rPr>
        <w:t> </w:t>
      </w:r>
    </w:p>
    <w:p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第一章 总则</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第一条 </w:t>
      </w:r>
      <w:r w:rsidRPr="008F28D6">
        <w:rPr>
          <w:rFonts w:ascii="仿宋" w:eastAsia="仿宋" w:hAnsi="仿宋" w:cs="Calibri" w:hint="eastAsia"/>
          <w:color w:val="000000"/>
          <w:kern w:val="0"/>
          <w:sz w:val="32"/>
          <w:szCs w:val="32"/>
        </w:rPr>
        <w:t>根据中共中央办公厅、国务院办公厅《印发&lt;关于进一步完善中央财政科研项目资金管理等政策的若干意见&gt;的通知》（中办发〔2016〕50号）、财政部《关于完善中央单位政府采购预算管理和中央高校、科研院所科研仪器设备采购管理有关事宜的通知》（财库〔2016〕194号）等文件要求，结合我校实际情况，制订本细则。</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第二条 </w:t>
      </w:r>
      <w:r w:rsidRPr="008F28D6">
        <w:rPr>
          <w:rFonts w:ascii="仿宋" w:eastAsia="仿宋" w:hAnsi="仿宋" w:cs="Calibri" w:hint="eastAsia"/>
          <w:color w:val="000000"/>
          <w:kern w:val="0"/>
          <w:sz w:val="32"/>
          <w:szCs w:val="32"/>
        </w:rPr>
        <w:t>本细则所称科研仪器设备是指能独立使用且耐用期为1年以上、单位价值在1500元及以上、使用学校各类资金购买、委托研制开发等方式获取的与教学科研活动相关的设备(仅包括学部、院、系、所、中心、图书馆、信息网络中心、分析测试中心、公共资源中心（以下简称“使用单位”）等单位购买的相关设备)。</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第三条 </w:t>
      </w:r>
      <w:r w:rsidRPr="008F28D6">
        <w:rPr>
          <w:rFonts w:ascii="仿宋" w:eastAsia="仿宋" w:hAnsi="仿宋" w:cs="Calibri" w:hint="eastAsia"/>
          <w:color w:val="000000"/>
          <w:kern w:val="0"/>
          <w:sz w:val="32"/>
          <w:szCs w:val="32"/>
        </w:rPr>
        <w:t>学校科研仪器设备采购工作遵循公开、透明、可追溯，注重效益及维护学校利益的原则。</w:t>
      </w:r>
    </w:p>
    <w:p w:rsidR="008F28D6" w:rsidRPr="008F28D6" w:rsidRDefault="008F28D6" w:rsidP="008F28D6">
      <w:pPr>
        <w:widowControl/>
        <w:shd w:val="clear" w:color="auto" w:fill="FFFFFF"/>
        <w:wordWrap w:val="0"/>
        <w:spacing w:line="560" w:lineRule="atLeast"/>
        <w:ind w:firstLine="482"/>
        <w:rPr>
          <w:rFonts w:ascii="Calibri" w:eastAsia="宋体" w:hAnsi="Calibri" w:cs="Calibri"/>
          <w:color w:val="666666"/>
          <w:kern w:val="0"/>
          <w:szCs w:val="21"/>
        </w:rPr>
      </w:pPr>
      <w:r w:rsidRPr="008F28D6">
        <w:rPr>
          <w:rFonts w:ascii="Calibri" w:eastAsia="黑体" w:hAnsi="Calibri" w:cs="Calibri"/>
          <w:color w:val="000000"/>
          <w:kern w:val="0"/>
          <w:sz w:val="32"/>
          <w:szCs w:val="32"/>
        </w:rPr>
        <w:t> </w:t>
      </w:r>
      <w:r w:rsidRPr="008F28D6">
        <w:rPr>
          <w:rFonts w:ascii="黑体" w:eastAsia="黑体" w:hAnsi="黑体" w:cs="Calibri" w:hint="eastAsia"/>
          <w:color w:val="000000"/>
          <w:kern w:val="0"/>
          <w:sz w:val="32"/>
          <w:szCs w:val="32"/>
        </w:rPr>
        <w:t xml:space="preserve">第四条 </w:t>
      </w:r>
      <w:r w:rsidRPr="008F28D6">
        <w:rPr>
          <w:rFonts w:ascii="仿宋" w:eastAsia="仿宋" w:hAnsi="仿宋" w:cs="Calibri" w:hint="eastAsia"/>
          <w:color w:val="000000"/>
          <w:kern w:val="0"/>
          <w:sz w:val="32"/>
          <w:szCs w:val="32"/>
        </w:rPr>
        <w:t>科研仪器设备采购工作坚持“统一领导、归口管理”的原则，实行学校、使用单位两级管理体制。各使用单位须按照学校统一要求制定本单位科研仪器设备采购实施细则，细则报科学技术处、社会科学处、财经处、资产管理</w:t>
      </w:r>
      <w:r w:rsidRPr="008F28D6">
        <w:rPr>
          <w:rFonts w:ascii="仿宋" w:eastAsia="仿宋" w:hAnsi="仿宋" w:cs="Calibri" w:hint="eastAsia"/>
          <w:color w:val="000000"/>
          <w:kern w:val="0"/>
          <w:sz w:val="32"/>
          <w:szCs w:val="32"/>
        </w:rPr>
        <w:lastRenderedPageBreak/>
        <w:t>处审批备案，学校将对各使用单位科研仪器设备采购实施细则执行情况进行检查。</w:t>
      </w:r>
    </w:p>
    <w:p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center"/>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第二章 科研仪器设备购置的预算管理</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第五条 </w:t>
      </w:r>
      <w:r w:rsidRPr="008F28D6">
        <w:rPr>
          <w:rFonts w:ascii="仿宋" w:eastAsia="仿宋" w:hAnsi="仿宋" w:cs="Calibri" w:hint="eastAsia"/>
          <w:color w:val="000000"/>
          <w:kern w:val="0"/>
          <w:sz w:val="32"/>
          <w:szCs w:val="32"/>
        </w:rPr>
        <w:t>在学校总体规划指导下，各使用单位应根据教学、科研等方面的工作需要，提出年度科研仪器设备采购计划，于每年度7月份、10月份将本单位的“政府采购预算申报书”报送财经处。</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第六条 </w:t>
      </w:r>
      <w:r w:rsidRPr="008F28D6">
        <w:rPr>
          <w:rFonts w:ascii="仿宋" w:eastAsia="仿宋" w:hAnsi="仿宋" w:cs="Calibri" w:hint="eastAsia"/>
          <w:color w:val="000000"/>
          <w:kern w:val="0"/>
          <w:sz w:val="32"/>
          <w:szCs w:val="32"/>
        </w:rPr>
        <w:t>财经处审批各使用单位上报的科研仪器设备采购预算，编制学校政府采购预算，随部门预算一并上报教育部、财政部审核批复，并录入财政部“政府采购计划管理系统”。录入的政府采购预算作为编报政府采购计划、申请变更政府采购方式和采购进口科研仪器设备的依据。</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第七条 </w:t>
      </w:r>
      <w:r w:rsidRPr="008F28D6">
        <w:rPr>
          <w:rFonts w:ascii="仿宋" w:eastAsia="仿宋" w:hAnsi="仿宋" w:cs="Calibri" w:hint="eastAsia"/>
          <w:color w:val="000000"/>
          <w:kern w:val="0"/>
          <w:sz w:val="32"/>
          <w:szCs w:val="32"/>
        </w:rPr>
        <w:t>若使用单位采购预算需要调整，须报财经处申请预算调整及政府采购预算调整：</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仿宋" w:eastAsia="仿宋" w:hAnsi="仿宋" w:cs="Calibri" w:hint="eastAsia"/>
          <w:color w:val="000000"/>
          <w:kern w:val="0"/>
          <w:sz w:val="32"/>
          <w:szCs w:val="32"/>
        </w:rPr>
        <w:t>（一）预算调整涉及部门预算资金调剂（包括追加、追减或调整结构），涉及政府采购预算变化的，应按部门预算调剂的有关程序和规定一并办理报批程序。</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仿宋" w:eastAsia="仿宋" w:hAnsi="仿宋" w:cs="Calibri" w:hint="eastAsia"/>
          <w:color w:val="000000"/>
          <w:kern w:val="0"/>
          <w:sz w:val="32"/>
          <w:szCs w:val="32"/>
        </w:rPr>
        <w:t>（二）预算支出总金额不变，但需要单独增加或减少政府采购预算的类别（货物、服务）和金额，或使用非财政拨款资金采购需要增加政府采购预算的，应按教育部政府采购中心统一要求办理备案程序。</w:t>
      </w:r>
    </w:p>
    <w:p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center"/>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lastRenderedPageBreak/>
        <w:t>第三章 科研仪器设备购置的审批论证</w:t>
      </w:r>
    </w:p>
    <w:p w:rsidR="008F28D6" w:rsidRPr="008F28D6" w:rsidRDefault="008F28D6" w:rsidP="008F28D6">
      <w:pPr>
        <w:widowControl/>
        <w:shd w:val="clear" w:color="auto" w:fill="FFFFFF"/>
        <w:wordWrap w:val="0"/>
        <w:spacing w:line="560" w:lineRule="atLeast"/>
        <w:rPr>
          <w:rFonts w:ascii="Calibri" w:eastAsia="宋体" w:hAnsi="Calibri" w:cs="Calibri"/>
          <w:color w:val="666666"/>
          <w:kern w:val="0"/>
          <w:szCs w:val="21"/>
        </w:rPr>
      </w:pPr>
      <w:r w:rsidRPr="008F28D6">
        <w:rPr>
          <w:rFonts w:ascii="Calibri" w:eastAsia="仿宋" w:hAnsi="Calibri" w:cs="Calibri"/>
          <w:color w:val="000000"/>
          <w:kern w:val="0"/>
          <w:sz w:val="32"/>
          <w:szCs w:val="32"/>
        </w:rPr>
        <w:t>  </w:t>
      </w:r>
      <w:r w:rsidRPr="008F28D6">
        <w:rPr>
          <w:rFonts w:ascii="仿宋" w:eastAsia="仿宋" w:hAnsi="仿宋" w:cs="Calibri" w:hint="eastAsia"/>
          <w:color w:val="000000"/>
          <w:kern w:val="0"/>
          <w:sz w:val="32"/>
          <w:szCs w:val="32"/>
        </w:rPr>
        <w:t xml:space="preserve"> </w:t>
      </w:r>
    </w:p>
    <w:p w:rsidR="008F28D6" w:rsidRPr="008F28D6" w:rsidRDefault="008F28D6" w:rsidP="008F28D6">
      <w:pPr>
        <w:widowControl/>
        <w:shd w:val="clear" w:color="auto" w:fill="FFFFFF"/>
        <w:wordWrap w:val="0"/>
        <w:spacing w:line="560" w:lineRule="atLeast"/>
        <w:ind w:firstLine="640"/>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第八条 </w:t>
      </w:r>
      <w:r w:rsidRPr="008F28D6">
        <w:rPr>
          <w:rFonts w:ascii="仿宋" w:eastAsia="仿宋" w:hAnsi="仿宋" w:cs="Calibri" w:hint="eastAsia"/>
          <w:color w:val="000000"/>
          <w:kern w:val="0"/>
          <w:sz w:val="32"/>
          <w:szCs w:val="32"/>
        </w:rPr>
        <w:t>使用学校各类资金购置总价20万元以下科研仪器设备，须填写“北京师范大学科研仪器设备用款申请审核单”（以下简称“审核单”），由各使用单位审批。</w:t>
      </w:r>
    </w:p>
    <w:p w:rsidR="008F28D6" w:rsidRPr="008F28D6" w:rsidRDefault="008F28D6" w:rsidP="008F28D6">
      <w:pPr>
        <w:widowControl/>
        <w:shd w:val="clear" w:color="auto" w:fill="FFFFFF"/>
        <w:wordWrap w:val="0"/>
        <w:spacing w:line="560" w:lineRule="atLeast"/>
        <w:ind w:firstLine="640"/>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第九条 </w:t>
      </w:r>
      <w:r w:rsidRPr="008F28D6">
        <w:rPr>
          <w:rFonts w:ascii="仿宋" w:eastAsia="仿宋" w:hAnsi="仿宋" w:cs="Calibri" w:hint="eastAsia"/>
          <w:color w:val="000000"/>
          <w:kern w:val="0"/>
          <w:sz w:val="32"/>
          <w:szCs w:val="32"/>
        </w:rPr>
        <w:t>使用学校各类资金购置总价20万元及以上科研仪器设备，须填写审核单，经使用单位和科学技术处审核后，报主管校领导审批。</w:t>
      </w:r>
    </w:p>
    <w:p w:rsidR="008F28D6" w:rsidRPr="008F28D6" w:rsidRDefault="008F28D6" w:rsidP="008F28D6">
      <w:pPr>
        <w:widowControl/>
        <w:shd w:val="clear" w:color="auto" w:fill="FFFFFF"/>
        <w:wordWrap w:val="0"/>
        <w:spacing w:line="560" w:lineRule="atLeast"/>
        <w:ind w:firstLine="640"/>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第十条 </w:t>
      </w:r>
      <w:r w:rsidRPr="008F28D6">
        <w:rPr>
          <w:rFonts w:ascii="仿宋" w:eastAsia="仿宋" w:hAnsi="仿宋" w:cs="Calibri" w:hint="eastAsia"/>
          <w:color w:val="000000"/>
          <w:kern w:val="0"/>
          <w:sz w:val="32"/>
          <w:szCs w:val="32"/>
        </w:rPr>
        <w:t>购置单价20万元及以上科研仪器设备或总价50万元及以上进口科研仪器设备，须提交“北京师范大学大型科研仪器设备论证报告”（以下简称“论证报告”）。由科学技术处组织专家对科研仪器设备购置科学性进行论证，由资产管理处组织专家对科研仪器设备运行条件进行论证。论证通过后，报主管校领导审批。财经处按照相关程序上报教育部、财政部审批通过后方可进行购置。</w:t>
      </w:r>
    </w:p>
    <w:p w:rsidR="008F28D6" w:rsidRPr="008F28D6" w:rsidRDefault="008F28D6" w:rsidP="008F28D6">
      <w:pPr>
        <w:widowControl/>
        <w:shd w:val="clear" w:color="auto" w:fill="FFFFFF"/>
        <w:wordWrap w:val="0"/>
        <w:spacing w:line="560" w:lineRule="atLeast"/>
        <w:ind w:firstLine="640"/>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第十一条 </w:t>
      </w:r>
      <w:r w:rsidRPr="008F28D6">
        <w:rPr>
          <w:rFonts w:ascii="仿宋" w:eastAsia="仿宋" w:hAnsi="仿宋" w:cs="Calibri" w:hint="eastAsia"/>
          <w:color w:val="000000"/>
          <w:kern w:val="0"/>
          <w:sz w:val="32"/>
          <w:szCs w:val="32"/>
        </w:rPr>
        <w:t>使用学校下拨到各使用单位的专项经费（如学科建设经费、教学经费、重点实验室运行经费等）购置的科研仪器设备，原则上采用集中审批论证。由各使用单位向财经处（预算评审中心）提交拟购置科研仪器设备清单及论证报告。财经处（预算评审中心）委托科学技术处及资产管理处组织专家进行集中论证，论证完成报主管校领导审批，审批结果由财经处通知各使用单位。</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仿宋" w:hAnsi="Calibri" w:cs="Calibri"/>
          <w:color w:val="000000"/>
          <w:kern w:val="0"/>
          <w:sz w:val="32"/>
          <w:szCs w:val="32"/>
        </w:rPr>
        <w:lastRenderedPageBreak/>
        <w:t> </w:t>
      </w:r>
    </w:p>
    <w:p w:rsidR="008F28D6" w:rsidRPr="008F28D6" w:rsidRDefault="008F28D6" w:rsidP="008F28D6">
      <w:pPr>
        <w:widowControl/>
        <w:shd w:val="clear" w:color="auto" w:fill="FFFFFF"/>
        <w:wordWrap w:val="0"/>
        <w:snapToGrid w:val="0"/>
        <w:spacing w:line="560" w:lineRule="atLeast"/>
        <w:ind w:firstLine="640"/>
        <w:jc w:val="center"/>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第四章 科研仪器设备购置方式</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第十二条 </w:t>
      </w:r>
      <w:r w:rsidRPr="008F28D6">
        <w:rPr>
          <w:rFonts w:ascii="仿宋" w:eastAsia="仿宋" w:hAnsi="仿宋" w:cs="Calibri" w:hint="eastAsia"/>
          <w:color w:val="000000"/>
          <w:kern w:val="0"/>
          <w:sz w:val="32"/>
          <w:szCs w:val="32"/>
        </w:rPr>
        <w:t>公开招标作为科研仪器设备购置的主要方式。凡是公开招标限额以上的项目，若采用公开招标以外方式购置的，须在采购活动开始前报教育部批准后方可执行。</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仿宋" w:eastAsia="仿宋" w:hAnsi="仿宋" w:cs="Calibri" w:hint="eastAsia"/>
          <w:color w:val="000000"/>
          <w:kern w:val="0"/>
          <w:sz w:val="32"/>
          <w:szCs w:val="32"/>
        </w:rPr>
        <w:t>科研仪器设备招标采购评审专家的确定，须严格执行《中华人民共和国政府采购法》《中华人民共和国政府采购法实施条例》规定的回避原则，可在政府采购评审专家库外自行选择1-3名外单位评审专家，但需在中标（成交）结果公告中进行标注。</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第十三条 </w:t>
      </w:r>
      <w:r w:rsidRPr="008F28D6">
        <w:rPr>
          <w:rFonts w:ascii="仿宋" w:eastAsia="仿宋" w:hAnsi="仿宋" w:cs="Calibri" w:hint="eastAsia"/>
          <w:color w:val="000000"/>
          <w:kern w:val="0"/>
          <w:sz w:val="32"/>
          <w:szCs w:val="32"/>
        </w:rPr>
        <w:t>购置《中央预算单位政府采购目录及标准》内的科研仪器设备，需经财经处批准（需在价格不高于其他采购方式的前提下，因某些协议供应价比较高），也可依据当年《中央预算单位政府采购目录及标准》要求，按照中央国家机关政府采购中心公布的办法和程序执行。</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第十四条 </w:t>
      </w:r>
      <w:r w:rsidRPr="008F28D6">
        <w:rPr>
          <w:rFonts w:ascii="仿宋" w:eastAsia="仿宋" w:hAnsi="仿宋" w:cs="Calibri" w:hint="eastAsia"/>
          <w:color w:val="000000"/>
          <w:kern w:val="0"/>
          <w:sz w:val="32"/>
          <w:szCs w:val="32"/>
        </w:rPr>
        <w:t>各使用单位购置总价20万元及以上的科研仪器设备，根据《中华人民共和国政府采购法》《中华人民共和国政府采购法实施条例》中相关规定，由财经处自行或委托专业代理机构采用公开招标、邀请招标、竞争性谈判、竞争性磋商、单一来源等采购方式进行采购。</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仿宋" w:eastAsia="仿宋" w:hAnsi="仿宋" w:cs="Calibri" w:hint="eastAsia"/>
          <w:color w:val="000000"/>
          <w:kern w:val="0"/>
          <w:sz w:val="32"/>
          <w:szCs w:val="32"/>
        </w:rPr>
        <w:t>购置总价20万元以下的科研仪器设备，须成立不少于3人的比价小组，与至少3家供货商进行谈判和综合比较后</w:t>
      </w:r>
      <w:r w:rsidRPr="008F28D6">
        <w:rPr>
          <w:rFonts w:ascii="仿宋" w:eastAsia="仿宋" w:hAnsi="仿宋" w:cs="Calibri" w:hint="eastAsia"/>
          <w:color w:val="000000"/>
          <w:kern w:val="0"/>
          <w:sz w:val="32"/>
          <w:szCs w:val="32"/>
        </w:rPr>
        <w:lastRenderedPageBreak/>
        <w:t>确定最终供货商，填写“北京师范大学科研仪器设备比价采购报告”，连同有供货商盖章的报价单报送财经处进行审核、登记。</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第十五条 </w:t>
      </w:r>
      <w:r w:rsidRPr="008F28D6">
        <w:rPr>
          <w:rFonts w:ascii="仿宋" w:eastAsia="仿宋" w:hAnsi="仿宋" w:cs="Calibri" w:hint="eastAsia"/>
          <w:color w:val="000000"/>
          <w:kern w:val="0"/>
          <w:sz w:val="32"/>
          <w:szCs w:val="32"/>
        </w:rPr>
        <w:t>使用单位与确定的供应商按照平等、自愿的原则签订科研仪器设备采购合同，明确双方的权利和义务,双方可参照各类合同的示范文本订立合同。如有超出招标范围的内容，需要到财经处备案。</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第十六条 </w:t>
      </w:r>
      <w:r w:rsidRPr="008F28D6">
        <w:rPr>
          <w:rFonts w:ascii="仿宋" w:eastAsia="仿宋" w:hAnsi="仿宋" w:cs="Calibri" w:hint="eastAsia"/>
          <w:color w:val="000000"/>
          <w:kern w:val="0"/>
          <w:sz w:val="32"/>
          <w:szCs w:val="32"/>
        </w:rPr>
        <w:t>需办理免税的进口科研仪器设备，使用单位应携带报价单、中标通知书、技术服务协议等材料到资产管理处办理免税手续。</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仿宋"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center"/>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第五章 科研仪器设备的验收及报账</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第十七条 </w:t>
      </w:r>
      <w:r w:rsidRPr="008F28D6">
        <w:rPr>
          <w:rFonts w:ascii="仿宋" w:eastAsia="仿宋" w:hAnsi="仿宋" w:cs="Calibri" w:hint="eastAsia"/>
          <w:color w:val="000000"/>
          <w:kern w:val="0"/>
          <w:sz w:val="32"/>
          <w:szCs w:val="32"/>
        </w:rPr>
        <w:t>科研仪器设备到货后必须及时进行实物验收,单价20万元以下的科研仪器设备由使用单位组织验收。单价20万元及以上的科研仪器设备由资产管理处牵头，联合财经处、科学技术处、社会科学处、使用单位等有关部门成立验收小组进行验收。</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第十八条 </w:t>
      </w:r>
      <w:r w:rsidRPr="008F28D6">
        <w:rPr>
          <w:rFonts w:ascii="仿宋" w:eastAsia="仿宋" w:hAnsi="仿宋" w:cs="Calibri" w:hint="eastAsia"/>
          <w:color w:val="000000"/>
          <w:kern w:val="0"/>
          <w:sz w:val="32"/>
          <w:szCs w:val="32"/>
        </w:rPr>
        <w:t>验收工作必须按照科研仪器设备采购合同或技术服务协议、验收标准（国标、部标、厂标等），对科研仪器设备功能、性能、精度、附件及技术资料等进行验收。</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第十九条 </w:t>
      </w:r>
      <w:r w:rsidRPr="008F28D6">
        <w:rPr>
          <w:rFonts w:ascii="仿宋" w:eastAsia="仿宋" w:hAnsi="仿宋" w:cs="Calibri" w:hint="eastAsia"/>
          <w:color w:val="000000"/>
          <w:kern w:val="0"/>
          <w:sz w:val="32"/>
          <w:szCs w:val="32"/>
        </w:rPr>
        <w:t>单价20万元以下的科研仪器设备，货到使用单位后，一般一周内完成验收；单价20万元及以上的科</w:t>
      </w:r>
      <w:r w:rsidRPr="008F28D6">
        <w:rPr>
          <w:rFonts w:ascii="仿宋" w:eastAsia="仿宋" w:hAnsi="仿宋" w:cs="Calibri" w:hint="eastAsia"/>
          <w:color w:val="000000"/>
          <w:kern w:val="0"/>
          <w:sz w:val="32"/>
          <w:szCs w:val="32"/>
        </w:rPr>
        <w:lastRenderedPageBreak/>
        <w:t>研仪器设备二十天内完成验收。特殊情况无法及时组织验收的，须书面说明原因报资产管理处备案。</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第二十条 </w:t>
      </w:r>
      <w:r w:rsidRPr="008F28D6">
        <w:rPr>
          <w:rFonts w:ascii="仿宋" w:eastAsia="仿宋" w:hAnsi="仿宋" w:cs="Calibri" w:hint="eastAsia"/>
          <w:color w:val="000000"/>
          <w:kern w:val="0"/>
          <w:sz w:val="32"/>
          <w:szCs w:val="32"/>
        </w:rPr>
        <w:t>单价20万元及以上科研仪器设备，验收完成后，使用单位须填写“北京师范大学科研仪器设备验收报告”，验收报告报资产管理处备案并作为报销凭证报送财经处。</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第二十一条 </w:t>
      </w:r>
      <w:r w:rsidRPr="008F28D6">
        <w:rPr>
          <w:rFonts w:ascii="仿宋" w:eastAsia="仿宋" w:hAnsi="仿宋" w:cs="Calibri" w:hint="eastAsia"/>
          <w:color w:val="000000"/>
          <w:kern w:val="0"/>
          <w:sz w:val="32"/>
          <w:szCs w:val="32"/>
        </w:rPr>
        <w:t>验收完毕的科研仪器设备要及时到资产管理处办理固定资产入账手续。</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第二十二条 </w:t>
      </w:r>
      <w:r w:rsidRPr="008F28D6">
        <w:rPr>
          <w:rFonts w:ascii="仿宋" w:eastAsia="仿宋" w:hAnsi="仿宋" w:cs="Calibri" w:hint="eastAsia"/>
          <w:color w:val="000000"/>
          <w:kern w:val="0"/>
          <w:sz w:val="32"/>
          <w:szCs w:val="32"/>
        </w:rPr>
        <w:t>使用单位凭科研仪器设备购置审批材料、合同、比价报告、发票及固定资产验收单等材料到财经处办理报销手续。</w:t>
      </w:r>
    </w:p>
    <w:p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center"/>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第六章 附则</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第二十三条 </w:t>
      </w:r>
      <w:r w:rsidRPr="008F28D6">
        <w:rPr>
          <w:rFonts w:ascii="仿宋" w:eastAsia="仿宋" w:hAnsi="仿宋" w:cs="Calibri" w:hint="eastAsia"/>
          <w:color w:val="000000"/>
          <w:kern w:val="0"/>
          <w:sz w:val="32"/>
          <w:szCs w:val="32"/>
        </w:rPr>
        <w:t>本细则自发布之日起实施。凡过去文件规定与本细则不一致的，以本细则为准。</w:t>
      </w:r>
    </w:p>
    <w:p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第二十四条 </w:t>
      </w:r>
      <w:r w:rsidRPr="008F28D6">
        <w:rPr>
          <w:rFonts w:ascii="仿宋" w:eastAsia="仿宋" w:hAnsi="仿宋" w:cs="Calibri" w:hint="eastAsia"/>
          <w:color w:val="000000"/>
          <w:kern w:val="0"/>
          <w:sz w:val="32"/>
          <w:szCs w:val="32"/>
        </w:rPr>
        <w:t>本细则由科学技术处、社会科学处、财经处、资产管理处负责解释。未尽事项，按照国家和学校有关规定执行。</w:t>
      </w:r>
    </w:p>
    <w:p w:rsidR="00BD3DAA" w:rsidRPr="008F28D6" w:rsidRDefault="00BD3DAA">
      <w:bookmarkStart w:id="0" w:name="_GoBack"/>
      <w:bookmarkEnd w:id="0"/>
    </w:p>
    <w:sectPr w:rsidR="00BD3DAA" w:rsidRPr="008F28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1C2" w:rsidRDefault="007161C2" w:rsidP="008F28D6">
      <w:r>
        <w:separator/>
      </w:r>
    </w:p>
  </w:endnote>
  <w:endnote w:type="continuationSeparator" w:id="0">
    <w:p w:rsidR="007161C2" w:rsidRDefault="007161C2" w:rsidP="008F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1C2" w:rsidRDefault="007161C2" w:rsidP="008F28D6">
      <w:r>
        <w:separator/>
      </w:r>
    </w:p>
  </w:footnote>
  <w:footnote w:type="continuationSeparator" w:id="0">
    <w:p w:rsidR="007161C2" w:rsidRDefault="007161C2" w:rsidP="008F2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BB"/>
    <w:rsid w:val="007161C2"/>
    <w:rsid w:val="008F28D6"/>
    <w:rsid w:val="00B30EBB"/>
    <w:rsid w:val="00BD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7A400D-C04D-4A35-89E1-2A42224E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28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28D6"/>
    <w:rPr>
      <w:sz w:val="18"/>
      <w:szCs w:val="18"/>
    </w:rPr>
  </w:style>
  <w:style w:type="paragraph" w:styleId="a4">
    <w:name w:val="footer"/>
    <w:basedOn w:val="a"/>
    <w:link w:val="Char0"/>
    <w:uiPriority w:val="99"/>
    <w:unhideWhenUsed/>
    <w:rsid w:val="008F28D6"/>
    <w:pPr>
      <w:tabs>
        <w:tab w:val="center" w:pos="4153"/>
        <w:tab w:val="right" w:pos="8306"/>
      </w:tabs>
      <w:snapToGrid w:val="0"/>
      <w:jc w:val="left"/>
    </w:pPr>
    <w:rPr>
      <w:sz w:val="18"/>
      <w:szCs w:val="18"/>
    </w:rPr>
  </w:style>
  <w:style w:type="character" w:customStyle="1" w:styleId="Char0">
    <w:name w:val="页脚 Char"/>
    <w:basedOn w:val="a0"/>
    <w:link w:val="a4"/>
    <w:uiPriority w:val="99"/>
    <w:rsid w:val="008F28D6"/>
    <w:rPr>
      <w:sz w:val="18"/>
      <w:szCs w:val="18"/>
    </w:rPr>
  </w:style>
  <w:style w:type="paragraph" w:styleId="a5">
    <w:name w:val="Normal (Web)"/>
    <w:basedOn w:val="a"/>
    <w:uiPriority w:val="99"/>
    <w:semiHidden/>
    <w:unhideWhenUsed/>
    <w:rsid w:val="008F28D6"/>
    <w:pPr>
      <w:widowControl/>
      <w:spacing w:before="100" w:beforeAutospacing="1" w:after="100" w:afterAutospacing="1"/>
      <w:jc w:val="left"/>
    </w:pPr>
    <w:rPr>
      <w:rFonts w:ascii="宋体" w:eastAsia="宋体" w:hAnsi="宋体" w:cs="宋体"/>
      <w:color w:val="666666"/>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6718">
      <w:bodyDiv w:val="1"/>
      <w:marLeft w:val="0"/>
      <w:marRight w:val="0"/>
      <w:marTop w:val="0"/>
      <w:marBottom w:val="0"/>
      <w:divBdr>
        <w:top w:val="none" w:sz="0" w:space="0" w:color="auto"/>
        <w:left w:val="none" w:sz="0" w:space="0" w:color="auto"/>
        <w:bottom w:val="none" w:sz="0" w:space="0" w:color="auto"/>
        <w:right w:val="none" w:sz="0" w:space="0" w:color="auto"/>
      </w:divBdr>
      <w:divsChild>
        <w:div w:id="222837080">
          <w:marLeft w:val="0"/>
          <w:marRight w:val="0"/>
          <w:marTop w:val="0"/>
          <w:marBottom w:val="0"/>
          <w:divBdr>
            <w:top w:val="none" w:sz="0" w:space="0" w:color="auto"/>
            <w:left w:val="none" w:sz="0" w:space="0" w:color="auto"/>
            <w:bottom w:val="none" w:sz="0" w:space="0" w:color="auto"/>
            <w:right w:val="none" w:sz="0" w:space="0" w:color="auto"/>
          </w:divBdr>
          <w:divsChild>
            <w:div w:id="1513648800">
              <w:marLeft w:val="0"/>
              <w:marRight w:val="0"/>
              <w:marTop w:val="0"/>
              <w:marBottom w:val="0"/>
              <w:divBdr>
                <w:top w:val="none" w:sz="0" w:space="0" w:color="auto"/>
                <w:left w:val="none" w:sz="0" w:space="0" w:color="auto"/>
                <w:bottom w:val="none" w:sz="0" w:space="0" w:color="auto"/>
                <w:right w:val="none" w:sz="0" w:space="0" w:color="auto"/>
              </w:divBdr>
              <w:divsChild>
                <w:div w:id="2091930248">
                  <w:marLeft w:val="0"/>
                  <w:marRight w:val="0"/>
                  <w:marTop w:val="0"/>
                  <w:marBottom w:val="0"/>
                  <w:divBdr>
                    <w:top w:val="none" w:sz="0" w:space="0" w:color="auto"/>
                    <w:left w:val="none" w:sz="0" w:space="0" w:color="auto"/>
                    <w:bottom w:val="none" w:sz="0" w:space="0" w:color="auto"/>
                    <w:right w:val="none" w:sz="0" w:space="0" w:color="auto"/>
                  </w:divBdr>
                  <w:divsChild>
                    <w:div w:id="1000620637">
                      <w:marLeft w:val="0"/>
                      <w:marRight w:val="0"/>
                      <w:marTop w:val="0"/>
                      <w:marBottom w:val="0"/>
                      <w:divBdr>
                        <w:top w:val="none" w:sz="0" w:space="0" w:color="auto"/>
                        <w:left w:val="none" w:sz="0" w:space="0" w:color="auto"/>
                        <w:bottom w:val="none" w:sz="0" w:space="0" w:color="auto"/>
                        <w:right w:val="none" w:sz="0" w:space="0" w:color="auto"/>
                      </w:divBdr>
                      <w:divsChild>
                        <w:div w:id="556281637">
                          <w:marLeft w:val="0"/>
                          <w:marRight w:val="0"/>
                          <w:marTop w:val="0"/>
                          <w:marBottom w:val="0"/>
                          <w:divBdr>
                            <w:top w:val="none" w:sz="0" w:space="0" w:color="auto"/>
                            <w:left w:val="none" w:sz="0" w:space="0" w:color="auto"/>
                            <w:bottom w:val="none" w:sz="0" w:space="0" w:color="auto"/>
                            <w:right w:val="none" w:sz="0" w:space="0" w:color="auto"/>
                          </w:divBdr>
                          <w:divsChild>
                            <w:div w:id="1009409024">
                              <w:marLeft w:val="0"/>
                              <w:marRight w:val="0"/>
                              <w:marTop w:val="0"/>
                              <w:marBottom w:val="0"/>
                              <w:divBdr>
                                <w:top w:val="none" w:sz="0" w:space="0" w:color="auto"/>
                                <w:left w:val="none" w:sz="0" w:space="0" w:color="auto"/>
                                <w:bottom w:val="none" w:sz="0" w:space="0" w:color="auto"/>
                                <w:right w:val="none" w:sz="0" w:space="0" w:color="auto"/>
                              </w:divBdr>
                              <w:divsChild>
                                <w:div w:id="1150900358">
                                  <w:marLeft w:val="0"/>
                                  <w:marRight w:val="0"/>
                                  <w:marTop w:val="90"/>
                                  <w:marBottom w:val="0"/>
                                  <w:divBdr>
                                    <w:top w:val="none" w:sz="0" w:space="0" w:color="auto"/>
                                    <w:left w:val="none" w:sz="0" w:space="0" w:color="auto"/>
                                    <w:bottom w:val="none" w:sz="0" w:space="0" w:color="auto"/>
                                    <w:right w:val="none" w:sz="0" w:space="0" w:color="auto"/>
                                  </w:divBdr>
                                  <w:divsChild>
                                    <w:div w:id="564952678">
                                      <w:marLeft w:val="0"/>
                                      <w:marRight w:val="0"/>
                                      <w:marTop w:val="0"/>
                                      <w:marBottom w:val="0"/>
                                      <w:divBdr>
                                        <w:top w:val="none" w:sz="0" w:space="0" w:color="auto"/>
                                        <w:left w:val="none" w:sz="0" w:space="0" w:color="auto"/>
                                        <w:bottom w:val="none" w:sz="0" w:space="0" w:color="auto"/>
                                        <w:right w:val="none" w:sz="0" w:space="0" w:color="auto"/>
                                      </w:divBdr>
                                      <w:divsChild>
                                        <w:div w:id="10494948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462</Words>
  <Characters>2639</Characters>
  <Application>Microsoft Office Word</Application>
  <DocSecurity>0</DocSecurity>
  <Lines>21</Lines>
  <Paragraphs>6</Paragraphs>
  <ScaleCrop>false</ScaleCrop>
  <Company>Microsoft</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2017-03-03T07:04:00Z</dcterms:created>
  <dcterms:modified xsi:type="dcterms:W3CDTF">2017-03-03T07:04:00Z</dcterms:modified>
</cp:coreProperties>
</file>